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F283" w14:textId="77777777" w:rsidR="0065324A" w:rsidRPr="0065324A" w:rsidRDefault="0065324A" w:rsidP="0065324A">
      <w:pPr>
        <w:spacing w:before="600" w:after="300" w:line="450" w:lineRule="atLeast"/>
        <w:outlineLvl w:val="1"/>
        <w:rPr>
          <w:rFonts w:ascii="Segoe UI" w:eastAsia="Times New Roman" w:hAnsi="Segoe UI" w:cs="Segoe UI"/>
          <w:b/>
          <w:bCs/>
          <w:sz w:val="27"/>
          <w:szCs w:val="27"/>
        </w:rPr>
      </w:pPr>
      <w:r w:rsidRPr="0065324A">
        <w:rPr>
          <w:rFonts w:ascii="Segoe UI" w:eastAsia="Times New Roman" w:hAnsi="Segoe UI" w:cs="Segoe UI"/>
          <w:b/>
          <w:bCs/>
          <w:sz w:val="27"/>
          <w:szCs w:val="27"/>
        </w:rPr>
        <w:t>Author Guidelines</w:t>
      </w:r>
    </w:p>
    <w:p w14:paraId="4D143B9E" w14:textId="42AC0C6D" w:rsidR="0065324A" w:rsidRPr="0065324A" w:rsidRDefault="0065324A" w:rsidP="0065324A">
      <w:pPr>
        <w:spacing w:before="300" w:after="300" w:line="276" w:lineRule="auto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 xml:space="preserve">The manuscript submitted to </w:t>
      </w:r>
      <w:r w:rsidR="008E6B0A">
        <w:rPr>
          <w:rFonts w:ascii="Segoe UI" w:eastAsia="Times New Roman" w:hAnsi="Segoe UI" w:cs="Segoe UI"/>
          <w:sz w:val="21"/>
          <w:szCs w:val="21"/>
        </w:rPr>
        <w:t xml:space="preserve">ICOBIRD 2020 and to be published in </w:t>
      </w:r>
      <w:r w:rsidRPr="0065324A">
        <w:rPr>
          <w:rFonts w:ascii="Segoe UI" w:eastAsia="Times New Roman" w:hAnsi="Segoe UI" w:cs="Segoe UI"/>
          <w:sz w:val="21"/>
          <w:szCs w:val="21"/>
        </w:rPr>
        <w:t>Intellectual Discourse should not have been published elsewhere, and should not be under consideration by other publication. This must be stated in the covering letter.</w:t>
      </w:r>
    </w:p>
    <w:p w14:paraId="1C4006CD" w14:textId="18C200C9" w:rsidR="0065324A" w:rsidRPr="0065324A" w:rsidRDefault="0065324A" w:rsidP="0065324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Original research and review articles should be 5,000-8,000 words</w:t>
      </w:r>
      <w:r>
        <w:rPr>
          <w:rFonts w:ascii="Segoe UI" w:eastAsia="Times New Roman" w:hAnsi="Segoe UI" w:cs="Segoe UI"/>
          <w:sz w:val="21"/>
          <w:szCs w:val="21"/>
        </w:rPr>
        <w:t>.</w:t>
      </w:r>
      <w:r w:rsidRPr="0065324A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F519740" w14:textId="77777777" w:rsidR="0065324A" w:rsidRPr="0065324A" w:rsidRDefault="0065324A" w:rsidP="0065324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Manuscripts should be double-spaced with a 1 in (2.5 cm) margins. Use 12-point Times New Roman Font.</w:t>
      </w:r>
    </w:p>
    <w:p w14:paraId="5824559B" w14:textId="77777777" w:rsidR="0065324A" w:rsidRPr="0065324A" w:rsidRDefault="0065324A" w:rsidP="0065324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Manuscripts should adhere to the Publication Manual of the American Psychological Association, latest edition.</w:t>
      </w:r>
    </w:p>
    <w:p w14:paraId="04F4EF9B" w14:textId="77777777" w:rsidR="0065324A" w:rsidRPr="0065324A" w:rsidRDefault="0065324A" w:rsidP="0065324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The title should be as concise as possible and should appear on a separate sheet together with name(s) of the author(s), affiliation(s), and the completed postal address of the institute(s).</w:t>
      </w:r>
    </w:p>
    <w:p w14:paraId="4398CE0C" w14:textId="77777777" w:rsidR="0065324A" w:rsidRPr="0065324A" w:rsidRDefault="0065324A" w:rsidP="0065324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A short running title of not more than 40 characters should also be included.</w:t>
      </w:r>
    </w:p>
    <w:p w14:paraId="582579CD" w14:textId="77777777" w:rsidR="0065324A" w:rsidRPr="0065324A" w:rsidRDefault="0065324A" w:rsidP="0065324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Headings and sub-headings of different sections should be clearly indicated.</w:t>
      </w:r>
    </w:p>
    <w:p w14:paraId="3FAC4D87" w14:textId="62CEE1E0" w:rsidR="0065324A" w:rsidRPr="0065324A" w:rsidRDefault="0065324A" w:rsidP="0065324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References should be alphabetically ordered. Some examples are given below</w:t>
      </w:r>
      <w:r>
        <w:rPr>
          <w:rFonts w:ascii="Segoe UI" w:eastAsia="Times New Roman" w:hAnsi="Segoe UI" w:cs="Segoe UI"/>
          <w:sz w:val="21"/>
          <w:szCs w:val="21"/>
        </w:rPr>
        <w:t>:</w:t>
      </w:r>
    </w:p>
    <w:p w14:paraId="50270736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b/>
          <w:bCs/>
          <w:sz w:val="21"/>
          <w:szCs w:val="21"/>
        </w:rPr>
        <w:t>Book</w:t>
      </w:r>
    </w:p>
    <w:p w14:paraId="044C944A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In-text: Al-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Faruqi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&amp; al-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Faruqi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(1986)</w:t>
      </w:r>
    </w:p>
    <w:p w14:paraId="4D872EF8" w14:textId="598B887E" w:rsid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Reference: Al-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Faruqi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, I. R. &amp; al-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Faruqi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, L. L. (1986). </w:t>
      </w:r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The cultural atlas of Islam</w:t>
      </w:r>
      <w:r w:rsidRPr="0065324A">
        <w:rPr>
          <w:rFonts w:ascii="Segoe UI" w:eastAsia="Times New Roman" w:hAnsi="Segoe UI" w:cs="Segoe UI"/>
          <w:sz w:val="21"/>
          <w:szCs w:val="21"/>
        </w:rPr>
        <w:t>. New York: Macmillan Publishing Company.</w:t>
      </w:r>
    </w:p>
    <w:p w14:paraId="59003811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</w:p>
    <w:p w14:paraId="5621B25D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b/>
          <w:bCs/>
          <w:sz w:val="21"/>
          <w:szCs w:val="21"/>
        </w:rPr>
        <w:t>Chapter in a Book</w:t>
      </w:r>
    </w:p>
    <w:p w14:paraId="65C4848E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In-text: Alias (2009)</w:t>
      </w:r>
    </w:p>
    <w:p w14:paraId="3F1E3592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Reference: Alias, A. (2009). Human nature. In N. M. Noor (Ed.), </w:t>
      </w:r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Psychology from an Islamic perspective: A guide to teaching and learning </w:t>
      </w:r>
      <w:r w:rsidRPr="0065324A">
        <w:rPr>
          <w:rFonts w:ascii="Segoe UI" w:eastAsia="Times New Roman" w:hAnsi="Segoe UI" w:cs="Segoe UI"/>
          <w:sz w:val="21"/>
          <w:szCs w:val="21"/>
        </w:rPr>
        <w:t>(pp. 79-117). Kuala Lumpur: IIUM Press.</w:t>
      </w:r>
    </w:p>
    <w:p w14:paraId="04F9F0CB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 </w:t>
      </w:r>
    </w:p>
    <w:p w14:paraId="03974B8E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b/>
          <w:bCs/>
          <w:sz w:val="21"/>
          <w:szCs w:val="21"/>
        </w:rPr>
        <w:t>Journal Article</w:t>
      </w:r>
    </w:p>
    <w:p w14:paraId="5E3A35B7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 xml:space="preserve">In-text: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Chapra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(2002)</w:t>
      </w:r>
    </w:p>
    <w:p w14:paraId="7A2B90FB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 xml:space="preserve">Reference: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Chapra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, M. U. (2002). Islam and the international debt problem</w:t>
      </w:r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.  Journal of Islamic Studies</w:t>
      </w:r>
      <w:r w:rsidRPr="0065324A">
        <w:rPr>
          <w:rFonts w:ascii="Segoe UI" w:eastAsia="Times New Roman" w:hAnsi="Segoe UI" w:cs="Segoe UI"/>
          <w:sz w:val="21"/>
          <w:szCs w:val="21"/>
        </w:rPr>
        <w:t>, </w:t>
      </w:r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10</w:t>
      </w:r>
      <w:r w:rsidRPr="0065324A">
        <w:rPr>
          <w:rFonts w:ascii="Segoe UI" w:eastAsia="Times New Roman" w:hAnsi="Segoe UI" w:cs="Segoe UI"/>
          <w:sz w:val="21"/>
          <w:szCs w:val="21"/>
        </w:rPr>
        <w:t>, 214-32.</w:t>
      </w:r>
    </w:p>
    <w:p w14:paraId="7465F5C6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 </w:t>
      </w:r>
    </w:p>
    <w:p w14:paraId="0692B23B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b/>
          <w:bCs/>
          <w:sz w:val="21"/>
          <w:szCs w:val="21"/>
        </w:rPr>
        <w:t>The Qur’ān</w:t>
      </w:r>
    </w:p>
    <w:p w14:paraId="44CC3A4E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In-text:</w:t>
      </w:r>
    </w:p>
    <w:p w14:paraId="69E59701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(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) direct quotation, write as 30:36</w:t>
      </w:r>
    </w:p>
    <w:p w14:paraId="27DEE4F2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(ii) indirect quotation, write as Qur’ān, 30:36</w:t>
      </w:r>
    </w:p>
    <w:p w14:paraId="2D01DAC0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Reference: </w:t>
      </w:r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The glorious Qur’an</w:t>
      </w:r>
      <w:r w:rsidRPr="0065324A">
        <w:rPr>
          <w:rFonts w:ascii="Segoe UI" w:eastAsia="Times New Roman" w:hAnsi="Segoe UI" w:cs="Segoe UI"/>
          <w:sz w:val="21"/>
          <w:szCs w:val="21"/>
        </w:rPr>
        <w:t>. Translation and commentary by A. Yusuf Ali (1977). US: American Trust Publications.</w:t>
      </w:r>
    </w:p>
    <w:p w14:paraId="3B31D27D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 </w:t>
      </w:r>
    </w:p>
    <w:p w14:paraId="0164DDFB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proofErr w:type="spellStart"/>
      <w:r w:rsidRPr="0065324A">
        <w:rPr>
          <w:rFonts w:ascii="Segoe UI" w:eastAsia="Times New Roman" w:hAnsi="Segoe UI" w:cs="Segoe UI"/>
          <w:b/>
          <w:bCs/>
          <w:sz w:val="21"/>
          <w:szCs w:val="21"/>
        </w:rPr>
        <w:t>Ḥadīth</w:t>
      </w:r>
      <w:proofErr w:type="spellEnd"/>
    </w:p>
    <w:p w14:paraId="15A48E20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In text:</w:t>
      </w:r>
    </w:p>
    <w:p w14:paraId="64ED0DFB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(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) Al-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Bukhārī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, 88: 204 (where 88 is the book number, 204 is the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ḥadīth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number)</w:t>
      </w:r>
    </w:p>
    <w:p w14:paraId="753E4FE7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 xml:space="preserve">(ii) Ibn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Ḥanbal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, vol. 1, p. 1</w:t>
      </w:r>
    </w:p>
    <w:p w14:paraId="728C40DC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Reference:</w:t>
      </w:r>
    </w:p>
    <w:p w14:paraId="09A12027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(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) Al-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Bukhārī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, Muhammad ibn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Ismā‘īl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(1981). </w:t>
      </w:r>
      <w:proofErr w:type="spellStart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Ṣaḥīḥ</w:t>
      </w:r>
      <w:proofErr w:type="spellEnd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 xml:space="preserve"> al-</w:t>
      </w:r>
      <w:proofErr w:type="spellStart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Bukhārī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. Beirut: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Dār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al-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Fikr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.</w:t>
      </w:r>
    </w:p>
    <w:p w14:paraId="055B1EC3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 xml:space="preserve">(ii) Ibn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Ḥanbal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,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Aḥmad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(1982</w:t>
      </w:r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 xml:space="preserve">). </w:t>
      </w:r>
      <w:proofErr w:type="spellStart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Musnad</w:t>
      </w:r>
      <w:proofErr w:type="spellEnd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 xml:space="preserve"> </w:t>
      </w:r>
      <w:proofErr w:type="spellStart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Aḥmad</w:t>
      </w:r>
      <w:proofErr w:type="spellEnd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 xml:space="preserve"> ibn </w:t>
      </w:r>
      <w:proofErr w:type="spellStart"/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Ḥanbal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. Istanbul: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Cagri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spellStart"/>
      <w:r w:rsidRPr="0065324A">
        <w:rPr>
          <w:rFonts w:ascii="Segoe UI" w:eastAsia="Times New Roman" w:hAnsi="Segoe UI" w:cs="Segoe UI"/>
          <w:sz w:val="21"/>
          <w:szCs w:val="21"/>
        </w:rPr>
        <w:t>Yayinlari</w:t>
      </w:r>
      <w:proofErr w:type="spellEnd"/>
      <w:r w:rsidRPr="0065324A">
        <w:rPr>
          <w:rFonts w:ascii="Segoe UI" w:eastAsia="Times New Roman" w:hAnsi="Segoe UI" w:cs="Segoe UI"/>
          <w:sz w:val="21"/>
          <w:szCs w:val="21"/>
        </w:rPr>
        <w:t>.</w:t>
      </w:r>
    </w:p>
    <w:p w14:paraId="13B7C0DC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 </w:t>
      </w:r>
    </w:p>
    <w:p w14:paraId="0B6E7D3C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b/>
          <w:bCs/>
          <w:sz w:val="21"/>
          <w:szCs w:val="21"/>
        </w:rPr>
        <w:t>The Bible</w:t>
      </w:r>
    </w:p>
    <w:p w14:paraId="28C71AF3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In text: Matthew 12: 31-32</w:t>
      </w:r>
    </w:p>
    <w:p w14:paraId="79619FEF" w14:textId="77777777" w:rsidR="0065324A" w:rsidRPr="0065324A" w:rsidRDefault="0065324A" w:rsidP="0065324A">
      <w:pPr>
        <w:rPr>
          <w:rFonts w:ascii="Segoe UI" w:eastAsia="Times New Roman" w:hAnsi="Segoe UI" w:cs="Segoe UI"/>
          <w:sz w:val="21"/>
          <w:szCs w:val="21"/>
        </w:rPr>
      </w:pPr>
      <w:r w:rsidRPr="0065324A">
        <w:rPr>
          <w:rFonts w:ascii="Segoe UI" w:eastAsia="Times New Roman" w:hAnsi="Segoe UI" w:cs="Segoe UI"/>
          <w:sz w:val="21"/>
          <w:szCs w:val="21"/>
        </w:rPr>
        <w:t>Reference: </w:t>
      </w:r>
      <w:r w:rsidRPr="0065324A">
        <w:rPr>
          <w:rFonts w:ascii="Segoe UI" w:eastAsia="Times New Roman" w:hAnsi="Segoe UI" w:cs="Segoe UI"/>
          <w:i/>
          <w:iCs/>
          <w:sz w:val="21"/>
          <w:szCs w:val="21"/>
        </w:rPr>
        <w:t>The new Oxford annotated Bible</w:t>
      </w:r>
      <w:r w:rsidRPr="0065324A">
        <w:rPr>
          <w:rFonts w:ascii="Segoe UI" w:eastAsia="Times New Roman" w:hAnsi="Segoe UI" w:cs="Segoe UI"/>
          <w:sz w:val="21"/>
          <w:szCs w:val="21"/>
        </w:rPr>
        <w:t> (2007). Oxford: Oxford University Press.</w:t>
      </w:r>
    </w:p>
    <w:p w14:paraId="102370BF" w14:textId="77777777" w:rsidR="0034184C" w:rsidRDefault="0034184C"/>
    <w:sectPr w:rsidR="0034184C" w:rsidSect="009F31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0FA2"/>
    <w:multiLevelType w:val="multilevel"/>
    <w:tmpl w:val="D408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4A"/>
    <w:rsid w:val="0034184C"/>
    <w:rsid w:val="0065324A"/>
    <w:rsid w:val="008E6B0A"/>
    <w:rsid w:val="009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5233C"/>
  <w15:chartTrackingRefBased/>
  <w15:docId w15:val="{A195279D-6667-7D4B-9FFC-A02EFEF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2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2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32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5324A"/>
    <w:rPr>
      <w:i/>
      <w:iCs/>
    </w:rPr>
  </w:style>
  <w:style w:type="character" w:styleId="Strong">
    <w:name w:val="Strong"/>
    <w:basedOn w:val="DefaultParagraphFont"/>
    <w:uiPriority w:val="22"/>
    <w:qFormat/>
    <w:rsid w:val="0065324A"/>
    <w:rPr>
      <w:b/>
      <w:bCs/>
    </w:rPr>
  </w:style>
  <w:style w:type="character" w:customStyle="1" w:styleId="apple-converted-space">
    <w:name w:val="apple-converted-space"/>
    <w:basedOn w:val="DefaultParagraphFont"/>
    <w:rsid w:val="0065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Yulyadi</dc:creator>
  <cp:keywords/>
  <dc:description/>
  <cp:lastModifiedBy>Lili Yulyadi</cp:lastModifiedBy>
  <cp:revision>2</cp:revision>
  <dcterms:created xsi:type="dcterms:W3CDTF">2020-08-16T23:52:00Z</dcterms:created>
  <dcterms:modified xsi:type="dcterms:W3CDTF">2020-08-16T23:57:00Z</dcterms:modified>
</cp:coreProperties>
</file>